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0888" w14:textId="77777777" w:rsidR="00482724" w:rsidRDefault="00482724" w:rsidP="00482724">
      <w:pPr>
        <w:spacing w:before="100" w:beforeAutospacing="1" w:after="100" w:afterAutospacing="1"/>
        <w:jc w:val="both"/>
        <w:rPr>
          <w:b/>
          <w:bCs/>
        </w:rPr>
      </w:pPr>
    </w:p>
    <w:p w14:paraId="018AD7FF" w14:textId="75012FC1" w:rsidR="00482724" w:rsidRDefault="00482724" w:rsidP="00931C31">
      <w:pPr>
        <w:spacing w:before="100" w:beforeAutospacing="1" w:after="100" w:afterAutospacing="1"/>
        <w:jc w:val="center"/>
      </w:pPr>
      <w:r>
        <w:rPr>
          <w:b/>
          <w:bCs/>
        </w:rPr>
        <w:t>Samochody Suzuki w abonamentowej ofercie Masterlease</w:t>
      </w:r>
    </w:p>
    <w:p w14:paraId="468CF2C1" w14:textId="77777777" w:rsidR="00482724" w:rsidRDefault="00482724" w:rsidP="00482724">
      <w:pPr>
        <w:pStyle w:val="Akapitzlist"/>
        <w:ind w:hanging="360"/>
        <w:jc w:val="both"/>
      </w:pPr>
      <w:r>
        <w:rPr>
          <w:rFonts w:ascii="Symbol" w:eastAsia="Symbol" w:hAnsi="Symbol" w:cs="Symbol"/>
          <w:bCs/>
        </w:rPr>
        <w:t>·</w:t>
      </w:r>
      <w:r>
        <w:rPr>
          <w:rFonts w:ascii="Times New Roman" w:eastAsia="Symbol" w:hAnsi="Times New Roman"/>
          <w:bCs/>
          <w:sz w:val="14"/>
          <w:szCs w:val="14"/>
        </w:rPr>
        <w:t xml:space="preserve">        </w:t>
      </w:r>
      <w:r>
        <w:rPr>
          <w:b/>
          <w:bCs/>
        </w:rPr>
        <w:t xml:space="preserve">W ramach programu Suzuki Rent klienci zyskują dostęp w abonamencie do pięciu modeli Suzuki: </w:t>
      </w:r>
      <w:proofErr w:type="spellStart"/>
      <w:r>
        <w:rPr>
          <w:b/>
          <w:bCs/>
        </w:rPr>
        <w:t>Ignis</w:t>
      </w:r>
      <w:proofErr w:type="spellEnd"/>
      <w:r>
        <w:rPr>
          <w:b/>
          <w:bCs/>
        </w:rPr>
        <w:t xml:space="preserve">, Swift, </w:t>
      </w:r>
      <w:proofErr w:type="spellStart"/>
      <w:r>
        <w:rPr>
          <w:b/>
          <w:bCs/>
        </w:rPr>
        <w:t>Vitara</w:t>
      </w:r>
      <w:proofErr w:type="spellEnd"/>
      <w:r>
        <w:rPr>
          <w:b/>
          <w:bCs/>
        </w:rPr>
        <w:t xml:space="preserve">, SX4 S-Cross oraz </w:t>
      </w:r>
      <w:proofErr w:type="spellStart"/>
      <w:r>
        <w:rPr>
          <w:b/>
          <w:bCs/>
        </w:rPr>
        <w:t>Swace</w:t>
      </w:r>
      <w:proofErr w:type="spellEnd"/>
      <w:r>
        <w:rPr>
          <w:b/>
          <w:bCs/>
        </w:rPr>
        <w:t>.</w:t>
      </w:r>
    </w:p>
    <w:p w14:paraId="2849BAE5" w14:textId="77777777" w:rsidR="00482724" w:rsidRDefault="00482724" w:rsidP="00482724">
      <w:pPr>
        <w:pStyle w:val="Akapitzlist"/>
        <w:ind w:hanging="360"/>
        <w:jc w:val="both"/>
      </w:pPr>
      <w:r>
        <w:rPr>
          <w:rFonts w:ascii="Symbol" w:eastAsia="Symbol" w:hAnsi="Symbol" w:cs="Symbol"/>
          <w:bCs/>
        </w:rPr>
        <w:t>·</w:t>
      </w:r>
      <w:r>
        <w:rPr>
          <w:rFonts w:ascii="Times New Roman" w:eastAsia="Symbol" w:hAnsi="Times New Roman"/>
          <w:bCs/>
          <w:sz w:val="14"/>
          <w:szCs w:val="14"/>
        </w:rPr>
        <w:t xml:space="preserve">        </w:t>
      </w:r>
      <w:r>
        <w:rPr>
          <w:b/>
          <w:bCs/>
        </w:rPr>
        <w:t>Usługa abonamentu polega na wynajmie długoterminowym samochodu bez konieczności dokonywania jego zakupu.</w:t>
      </w:r>
    </w:p>
    <w:p w14:paraId="2F93ADE5" w14:textId="77777777" w:rsidR="00482724" w:rsidRDefault="00482724" w:rsidP="00482724">
      <w:pPr>
        <w:spacing w:before="100" w:beforeAutospacing="1" w:after="100" w:afterAutospacing="1"/>
        <w:jc w:val="both"/>
      </w:pPr>
      <w:r>
        <w:t xml:space="preserve">Masterlease wprowadza do oferty program Suzuki Rent. Dzięki temu klienci firmy mają dostęp do najnowszych wersji pięciu modeli japońskiego producenta: </w:t>
      </w:r>
      <w:proofErr w:type="spellStart"/>
      <w:r>
        <w:t>Ignis</w:t>
      </w:r>
      <w:proofErr w:type="spellEnd"/>
      <w:r>
        <w:t xml:space="preserve">, Swift, </w:t>
      </w:r>
      <w:proofErr w:type="spellStart"/>
      <w:r>
        <w:t>Vitara</w:t>
      </w:r>
      <w:proofErr w:type="spellEnd"/>
      <w:r>
        <w:t xml:space="preserve">, SX4 S-Cross oraz </w:t>
      </w:r>
      <w:proofErr w:type="spellStart"/>
      <w:r>
        <w:t>Swace</w:t>
      </w:r>
      <w:proofErr w:type="spellEnd"/>
      <w:r>
        <w:t>.  Samochody są dostępne w abonamencie dla klientów indywidualnych i biznesowych.</w:t>
      </w:r>
    </w:p>
    <w:p w14:paraId="4F8307B4" w14:textId="77777777" w:rsidR="00482724" w:rsidRPr="00482724" w:rsidRDefault="00482724" w:rsidP="00482724">
      <w:pPr>
        <w:spacing w:before="100" w:beforeAutospacing="1" w:after="100" w:afterAutospacing="1"/>
        <w:jc w:val="both"/>
      </w:pPr>
      <w:r>
        <w:rPr>
          <w:i/>
          <w:iCs/>
        </w:rPr>
        <w:t xml:space="preserve">- Stale rozwijamy ofertę samochodów na abonament, bo ta forma finansowania jest wśród polskich kierowców coraz popularniejsza – zarówno wśród przedsiębiorców, jak i prywatnych użytkowników dróg. Dbamy o to, żeby kierowcy mieli dostęp do jak najszerszej gamy najnowszych modeli i bardzo się cieszymy, że Suzuki weszło z nami we współpracę w obszarze abonamentowym </w:t>
      </w:r>
      <w:r>
        <w:t xml:space="preserve">– mówi Tomasz Jabłoński, Prezes Masterlease, Grupa </w:t>
      </w:r>
      <w:r w:rsidRPr="00482724">
        <w:t>Kapitałowa PKO Banku Polskiego.</w:t>
      </w:r>
    </w:p>
    <w:p w14:paraId="70CB523D" w14:textId="77777777" w:rsidR="00482724" w:rsidRDefault="00482724" w:rsidP="00482724">
      <w:pPr>
        <w:spacing w:before="100" w:beforeAutospacing="1" w:after="100" w:afterAutospacing="1"/>
        <w:jc w:val="both"/>
      </w:pPr>
      <w:r w:rsidRPr="00482724">
        <w:t xml:space="preserve">Program odpowiada na oczekiwania finansowe klientów, którzy nie chcą kupować samochodu na własność. Dzięki stałej opłacie czynszowej mogą korzystać z atrakcyjnych pojazdów. Program Suzuki Rent to łatwy dostęp do nowoczesnych i wygodnych aut, spełniających współczesne standardy zarówno w dziedzinie komfortu podróży jak i niskiej emisji zanieczyszczeń, ponieważ w ofercie dostępne są modele wyposażone w napęd hybrydowy. </w:t>
      </w:r>
    </w:p>
    <w:p w14:paraId="431EE3CC" w14:textId="77777777" w:rsidR="00482724" w:rsidRDefault="00482724" w:rsidP="00482724">
      <w:pPr>
        <w:spacing w:before="100" w:beforeAutospacing="1" w:after="100" w:afterAutospacing="1"/>
        <w:jc w:val="both"/>
      </w:pPr>
      <w:r>
        <w:rPr>
          <w:b/>
          <w:bCs/>
        </w:rPr>
        <w:t>Czym jest samochód w abonamencie</w:t>
      </w:r>
    </w:p>
    <w:p w14:paraId="1315E9D8" w14:textId="5BBA6F0C" w:rsidR="00482724" w:rsidRDefault="00482724" w:rsidP="00482724">
      <w:pPr>
        <w:spacing w:before="100" w:beforeAutospacing="1" w:after="100" w:afterAutospacing="1"/>
        <w:jc w:val="both"/>
      </w:pPr>
      <w:r>
        <w:t>Abonament to usługa, w ramach której kierowca nie kupuje nowego auta, ale używa go opłacając stałą, miesięczną ratę czynszu przez cały czas trwania umowy. Dzięki temu można łatwo obliczyć i kontrolować wydatki na samochód. W miesięcznym czynszu zawarte</w:t>
      </w:r>
      <w:r w:rsidR="00931C31">
        <w:t xml:space="preserve"> są </w:t>
      </w:r>
      <w:r>
        <w:t xml:space="preserve">najważniejsze usługi związane z korzystaniem z auta np. serwisowanie w sieci ASO Suzuki. Przedsiębiorcy mogą włączyć kwotę abonamentu w koszty uzyskania przychodu. Po zakończeniu umowy samochód można zwrócić lub wymienić na nowy. Istnieje też możliwość wykupu auta. </w:t>
      </w:r>
    </w:p>
    <w:p w14:paraId="4AB8CA0D" w14:textId="26555C5B" w:rsidR="00482724" w:rsidRDefault="00482724" w:rsidP="00482724">
      <w:pPr>
        <w:spacing w:before="100" w:beforeAutospacing="1" w:after="100" w:afterAutospacing="1"/>
        <w:jc w:val="both"/>
      </w:pPr>
      <w:r>
        <w:rPr>
          <w:i/>
          <w:iCs/>
        </w:rPr>
        <w:t xml:space="preserve">- Abonament to przede wszystkim niskie i przewidywalne </w:t>
      </w:r>
      <w:r w:rsidR="00931C31">
        <w:rPr>
          <w:i/>
          <w:iCs/>
        </w:rPr>
        <w:t>koszty</w:t>
      </w:r>
      <w:r>
        <w:rPr>
          <w:i/>
          <w:iCs/>
        </w:rPr>
        <w:t xml:space="preserve">. Kwota miesięcznego wynajmu samochodu jest niższa niż w przypadku, gdyby klient miał spłacić całą jego wartość. </w:t>
      </w:r>
      <w:r w:rsidR="00931C31">
        <w:rPr>
          <w:i/>
          <w:iCs/>
        </w:rPr>
        <w:t xml:space="preserve">Niwelujemy problem utraty wartości samochodu. </w:t>
      </w:r>
      <w:r>
        <w:rPr>
          <w:i/>
          <w:iCs/>
        </w:rPr>
        <w:t>Ma to szczególne znaczenie w czasach, gdy ostrożniej dysponujemy swoimi środkami. Ponadto kierowca nie musi tracić czasu na formalności związane z rejestracją</w:t>
      </w:r>
      <w:r w:rsidR="00D73FE5">
        <w:rPr>
          <w:i/>
          <w:iCs/>
        </w:rPr>
        <w:t xml:space="preserve"> </w:t>
      </w:r>
      <w:r w:rsidR="00931C31">
        <w:rPr>
          <w:i/>
          <w:iCs/>
        </w:rPr>
        <w:t xml:space="preserve">czy </w:t>
      </w:r>
      <w:r>
        <w:rPr>
          <w:i/>
          <w:iCs/>
        </w:rPr>
        <w:t>ubezpieczeniem</w:t>
      </w:r>
      <w:r w:rsidR="00931C31">
        <w:rPr>
          <w:i/>
          <w:iCs/>
        </w:rPr>
        <w:t xml:space="preserve">. </w:t>
      </w:r>
      <w:r>
        <w:rPr>
          <w:i/>
          <w:iCs/>
        </w:rPr>
        <w:t xml:space="preserve">Komfort i bezpieczeństwo </w:t>
      </w:r>
      <w:r w:rsidR="00931C31">
        <w:rPr>
          <w:i/>
          <w:iCs/>
        </w:rPr>
        <w:t xml:space="preserve">korzystania z nowego samochodu </w:t>
      </w:r>
      <w:r>
        <w:rPr>
          <w:i/>
          <w:iCs/>
        </w:rPr>
        <w:t xml:space="preserve">mają duże znaczenie, a to wszystko zapewnia usługa abonamentu </w:t>
      </w:r>
      <w:r>
        <w:t xml:space="preserve">– dodaje Tomasz Jabłoński z Masterlease. </w:t>
      </w:r>
    </w:p>
    <w:p w14:paraId="2E2C329C" w14:textId="77777777" w:rsidR="00482724" w:rsidRDefault="00482724" w:rsidP="00482724">
      <w:pPr>
        <w:jc w:val="both"/>
      </w:pPr>
    </w:p>
    <w:p w14:paraId="42E56715" w14:textId="04895F33" w:rsidR="00DB0313" w:rsidRPr="00482724" w:rsidRDefault="00482724" w:rsidP="00482724">
      <w:pPr>
        <w:jc w:val="right"/>
      </w:pPr>
      <w:r>
        <w:t>Źródło: Grupa Masterlease</w:t>
      </w:r>
    </w:p>
    <w:sectPr w:rsidR="00DB0313" w:rsidRPr="00482724" w:rsidSect="002938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53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C88EA" w14:textId="77777777" w:rsidR="0027373D" w:rsidRDefault="0027373D" w:rsidP="00B04103">
      <w:r>
        <w:separator/>
      </w:r>
    </w:p>
  </w:endnote>
  <w:endnote w:type="continuationSeparator" w:id="0">
    <w:p w14:paraId="4949B8E0" w14:textId="77777777" w:rsidR="0027373D" w:rsidRDefault="0027373D" w:rsidP="00B0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KO Bank Polski Rg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  <w:embedRegular r:id="rId1" w:subsetted="1" w:fontKey="{D2FFEDD2-6700-4CC1-AD79-8E58996D6B82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2" w:fontKey="{50BAD2D9-552A-413B-B995-39C6E3F6C85C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3" w:fontKey="{AD7336FC-7232-4D22-9638-8E440045D382}"/>
    <w:embedBold r:id="rId4" w:fontKey="{132AF4B2-A245-46F9-8CE1-B590FF2C6CDD}"/>
    <w:embedItalic r:id="rId5" w:fontKey="{D4AF0733-C6D0-4B11-AB3E-6FCB27966E8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EE"/>
    <w:family w:val="swiss"/>
    <w:pitch w:val="variable"/>
    <w:sig w:usb0="800000AF" w:usb1="4000604A" w:usb2="00000000" w:usb3="00000000" w:csb0="00000093" w:csb1="00000000"/>
    <w:embedRegular r:id="rId6" w:fontKey="{D34EC0DF-701D-45CE-BDDD-E3DC89C84F9A}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FBCC" w14:textId="77777777" w:rsidR="001344B2" w:rsidRDefault="00134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D1F1" w14:textId="77777777" w:rsidR="00B04103" w:rsidRPr="00B04103" w:rsidRDefault="00B04103" w:rsidP="00B04103">
    <w:pPr>
      <w:spacing w:after="0" w:line="240" w:lineRule="auto"/>
      <w:rPr>
        <w:sz w:val="14"/>
        <w:szCs w:val="14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7"/>
      <w:gridCol w:w="2266"/>
      <w:gridCol w:w="2266"/>
      <w:gridCol w:w="2266"/>
    </w:tblGrid>
    <w:tr w:rsidR="00B04103" w:rsidRPr="00B67981" w14:paraId="51EDF85C" w14:textId="77777777" w:rsidTr="003B6C64"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42ABE73D" w14:textId="77777777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</w:pPr>
          <w:r w:rsidRPr="00B67981">
            <w:rPr>
              <w:rFonts w:cstheme="minorHAnsi"/>
              <w:b/>
              <w:bCs/>
              <w:color w:val="003A5D"/>
              <w:sz w:val="12"/>
              <w:szCs w:val="12"/>
              <w:lang w:val="en-US"/>
            </w:rPr>
            <w:t>Prime Car Management S.A.</w:t>
          </w:r>
          <w:r w:rsidRPr="00B67981">
            <w:rPr>
              <w:rFonts w:cstheme="minorHAnsi"/>
              <w:b/>
              <w:bCs/>
              <w:color w:val="003A5D"/>
              <w:sz w:val="12"/>
              <w:szCs w:val="12"/>
              <w:lang w:val="en-US"/>
            </w:rPr>
            <w:br/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80-308 </w:t>
          </w:r>
          <w:proofErr w:type="spellStart"/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>Gdańsk</w:t>
          </w:r>
          <w:proofErr w:type="spellEnd"/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, ul. </w:t>
          </w:r>
          <w:proofErr w:type="spellStart"/>
          <w:r w:rsidRPr="00C91EA6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>Polanki</w:t>
          </w:r>
          <w:proofErr w:type="spellEnd"/>
          <w:r w:rsidRPr="00C91EA6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 4</w:t>
          </w:r>
        </w:p>
      </w:tc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57D2DD16" w14:textId="77777777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</w:pPr>
          <w:r w:rsidRPr="00B67981">
            <w:rPr>
              <w:rFonts w:cstheme="minorHAnsi"/>
              <w:b/>
              <w:bCs/>
              <w:color w:val="003A5D"/>
              <w:sz w:val="12"/>
              <w:szCs w:val="12"/>
              <w:lang w:val="en-US"/>
            </w:rPr>
            <w:t>Futura Leasing S.A.</w:t>
          </w:r>
          <w:r w:rsidRPr="00B67981">
            <w:rPr>
              <w:rFonts w:cstheme="minorHAnsi"/>
              <w:b/>
              <w:bCs/>
              <w:color w:val="003A5D"/>
              <w:sz w:val="12"/>
              <w:szCs w:val="12"/>
              <w:lang w:val="en-US"/>
            </w:rPr>
            <w:br/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80-308 </w:t>
          </w:r>
          <w:proofErr w:type="spellStart"/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>Gdańsk</w:t>
          </w:r>
          <w:proofErr w:type="spellEnd"/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, ul. </w:t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</w:rPr>
            <w:t>Polanki 4</w:t>
          </w:r>
        </w:p>
      </w:tc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4F786B3C" w14:textId="77777777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</w:pPr>
          <w:proofErr w:type="gramStart"/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t>Masterlease  Sp.</w:t>
          </w:r>
          <w:proofErr w:type="gramEnd"/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t xml:space="preserve"> z o.o.</w:t>
          </w:r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br/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</w:rPr>
            <w:t>80-308 Gdańsk, ul. Polanki 4</w:t>
          </w:r>
        </w:p>
      </w:tc>
      <w:tc>
        <w:tcPr>
          <w:tcW w:w="1250" w:type="pct"/>
          <w:tcBorders>
            <w:left w:val="single" w:sz="4" w:space="0" w:color="003A5D"/>
          </w:tcBorders>
        </w:tcPr>
        <w:p w14:paraId="59B6B942" w14:textId="77777777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</w:pPr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t>MasterRent24 Sp. z o.o.</w:t>
          </w:r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br/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</w:rPr>
            <w:t>80-308 Gdańsk, ul. Polanki 4</w:t>
          </w:r>
        </w:p>
      </w:tc>
    </w:tr>
    <w:tr w:rsidR="002938D4" w:rsidRPr="00B67981" w14:paraId="7D9A534F" w14:textId="77777777" w:rsidTr="003B6C64"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315DC407" w14:textId="2B273687" w:rsidR="002938D4" w:rsidRPr="00B67981" w:rsidRDefault="002938D4" w:rsidP="002938D4">
          <w:pPr>
            <w:spacing w:after="0"/>
            <w:rPr>
              <w:rFonts w:ascii="Lato Light" w:hAnsi="Lato Light" w:cstheme="minorHAnsi"/>
              <w:color w:val="003A5D"/>
              <w:sz w:val="6"/>
              <w:szCs w:val="6"/>
            </w:rPr>
          </w:pP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 xml:space="preserve">NIP 957-07-53-221, KRS nr 0000013870, 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Sąd Rejonowy Gdańsk - Północ w Gdańsku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 xml:space="preserve">Kapitał zakładowy i kapitał wpłacony </w:t>
          </w:r>
          <w:r>
            <w:rPr>
              <w:rFonts w:ascii="Lato Light" w:hAnsi="Lato Light" w:cstheme="minorHAnsi"/>
              <w:color w:val="003A5D"/>
              <w:sz w:val="10"/>
              <w:szCs w:val="10"/>
            </w:rPr>
            <w:br/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23 817 680 zł</w:t>
          </w:r>
          <w:r>
            <w:rPr>
              <w:rFonts w:ascii="Lato Light" w:hAnsi="Lato Light" w:cstheme="minorHAnsi"/>
              <w:color w:val="003A5D"/>
              <w:sz w:val="10"/>
              <w:szCs w:val="10"/>
            </w:rPr>
            <w:t xml:space="preserve">, </w:t>
          </w:r>
          <w:r w:rsidRPr="003F27C9">
            <w:rPr>
              <w:rFonts w:ascii="Lato Light" w:hAnsi="Lato Light" w:cstheme="minorHAnsi"/>
              <w:color w:val="003A5D"/>
              <w:sz w:val="10"/>
              <w:szCs w:val="10"/>
            </w:rPr>
            <w:t>BDO 000339900</w:t>
          </w:r>
        </w:p>
      </w:tc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75361BE1" w14:textId="15007860" w:rsidR="002938D4" w:rsidRPr="00B67981" w:rsidRDefault="002938D4" w:rsidP="002938D4">
          <w:pPr>
            <w:spacing w:after="0"/>
            <w:rPr>
              <w:rFonts w:ascii="Lato Light" w:hAnsi="Lato Light" w:cstheme="minorHAnsi"/>
              <w:color w:val="003A5D"/>
              <w:sz w:val="6"/>
              <w:szCs w:val="6"/>
            </w:rPr>
          </w:pP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NIP 584-10-27-454, KRS nr 0000069348,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Sąd Rejonowy Gdańsk - Północ w Gdańsku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 xml:space="preserve">Kapitał zakładowy i kapitał wpłacony </w:t>
          </w:r>
          <w:r>
            <w:rPr>
              <w:rFonts w:ascii="Lato Light" w:hAnsi="Lato Light" w:cstheme="minorHAnsi"/>
              <w:color w:val="003A5D"/>
              <w:sz w:val="10"/>
              <w:szCs w:val="10"/>
            </w:rPr>
            <w:br/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1 689 320 zł</w:t>
          </w:r>
          <w:r>
            <w:rPr>
              <w:rFonts w:ascii="Lato Light" w:hAnsi="Lato Light" w:cstheme="minorHAnsi"/>
              <w:color w:val="003A5D"/>
              <w:sz w:val="10"/>
              <w:szCs w:val="10"/>
            </w:rPr>
            <w:t xml:space="preserve">, </w:t>
          </w:r>
          <w:r w:rsidRPr="00D70441">
            <w:rPr>
              <w:rFonts w:ascii="Lato Light" w:hAnsi="Lato Light" w:cstheme="minorHAnsi"/>
              <w:color w:val="003A5D"/>
              <w:sz w:val="10"/>
              <w:szCs w:val="10"/>
            </w:rPr>
            <w:t>BDO 000339611</w:t>
          </w:r>
        </w:p>
      </w:tc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37D870B0" w14:textId="326C351C" w:rsidR="002938D4" w:rsidRPr="00B67981" w:rsidRDefault="002938D4" w:rsidP="002938D4">
          <w:pPr>
            <w:spacing w:after="0"/>
            <w:rPr>
              <w:rFonts w:ascii="Lato Light" w:hAnsi="Lato Light" w:cstheme="minorHAnsi"/>
              <w:color w:val="003A5D"/>
              <w:sz w:val="6"/>
              <w:szCs w:val="6"/>
            </w:rPr>
          </w:pP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NIP 584-26-99-948, KRS nr 0000362287,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Sąd Rejonowy Gdańsk - Północ w Gdańsku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Kapitał zakładowy 7 905 000 zł</w:t>
          </w:r>
          <w:r>
            <w:rPr>
              <w:rFonts w:ascii="Lato Light" w:hAnsi="Lato Light" w:cstheme="minorHAnsi"/>
              <w:color w:val="003A5D"/>
              <w:sz w:val="10"/>
              <w:szCs w:val="10"/>
            </w:rPr>
            <w:t xml:space="preserve">, </w:t>
          </w:r>
          <w:r w:rsidR="00B30713">
            <w:rPr>
              <w:rFonts w:ascii="Lato Light" w:hAnsi="Lato Light" w:cstheme="minorHAnsi"/>
              <w:color w:val="003A5D"/>
              <w:sz w:val="10"/>
              <w:szCs w:val="10"/>
            </w:rPr>
            <w:br/>
          </w:r>
          <w:r w:rsidRPr="00D70441">
            <w:rPr>
              <w:rFonts w:ascii="Lato Light" w:hAnsi="Lato Light" w:cstheme="minorHAnsi"/>
              <w:color w:val="003A5D"/>
              <w:sz w:val="10"/>
              <w:szCs w:val="10"/>
            </w:rPr>
            <w:t>BDO 000339917</w:t>
          </w:r>
        </w:p>
      </w:tc>
      <w:tc>
        <w:tcPr>
          <w:tcW w:w="1250" w:type="pct"/>
          <w:tcBorders>
            <w:left w:val="single" w:sz="4" w:space="0" w:color="003A5D"/>
          </w:tcBorders>
        </w:tcPr>
        <w:p w14:paraId="0567E3C9" w14:textId="6EA8A7FC" w:rsidR="002938D4" w:rsidRPr="00B67981" w:rsidRDefault="002938D4" w:rsidP="002938D4">
          <w:pPr>
            <w:spacing w:after="0"/>
            <w:rPr>
              <w:rFonts w:ascii="Lato Light" w:hAnsi="Lato Light" w:cstheme="minorHAnsi"/>
              <w:color w:val="003A5D"/>
              <w:sz w:val="6"/>
              <w:szCs w:val="6"/>
            </w:rPr>
          </w:pP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NIP 521-337-00-54, KRS nr 0000247010,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Sąd Rejonowy Gdańsk - Północ w Gdańsku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Kapitał zakładowy 2 850 000 zł</w:t>
          </w:r>
          <w:r w:rsidR="001344B2">
            <w:rPr>
              <w:rFonts w:ascii="Lato Light" w:hAnsi="Lato Light" w:cstheme="minorHAnsi"/>
              <w:color w:val="003A5D"/>
              <w:sz w:val="10"/>
              <w:szCs w:val="10"/>
            </w:rPr>
            <w:t>,</w:t>
          </w:r>
          <w:r w:rsidR="00F33D2D">
            <w:rPr>
              <w:rFonts w:ascii="Lato Light" w:hAnsi="Lato Light" w:cstheme="minorHAnsi"/>
              <w:color w:val="003A5D"/>
              <w:sz w:val="10"/>
              <w:szCs w:val="10"/>
            </w:rPr>
            <w:br/>
            <w:t xml:space="preserve">BDO </w:t>
          </w:r>
          <w:r w:rsidR="00F33D2D" w:rsidRPr="00F33D2D">
            <w:rPr>
              <w:rFonts w:ascii="Lato Light" w:hAnsi="Lato Light" w:cstheme="minorHAnsi"/>
              <w:color w:val="003A5D"/>
              <w:sz w:val="10"/>
              <w:szCs w:val="10"/>
            </w:rPr>
            <w:t>000392227</w:t>
          </w:r>
        </w:p>
      </w:tc>
    </w:tr>
    <w:tr w:rsidR="00B04103" w:rsidRPr="00B67981" w14:paraId="1B043458" w14:textId="77777777" w:rsidTr="003B6C64">
      <w:tc>
        <w:tcPr>
          <w:tcW w:w="5000" w:type="pct"/>
          <w:gridSpan w:val="4"/>
        </w:tcPr>
        <w:p w14:paraId="247AEDDE" w14:textId="77777777" w:rsidR="00B04103" w:rsidRPr="00771429" w:rsidRDefault="00B04103" w:rsidP="00B04103">
          <w:pPr>
            <w:spacing w:after="0"/>
            <w:jc w:val="center"/>
            <w:rPr>
              <w:rFonts w:ascii="Lato Light" w:hAnsi="Lato Light" w:cstheme="minorHAnsi"/>
              <w:color w:val="003A5D"/>
              <w:sz w:val="12"/>
              <w:szCs w:val="12"/>
            </w:rPr>
          </w:pPr>
          <w:r w:rsidRPr="00244C2E">
            <w:rPr>
              <w:rFonts w:ascii="Lato Light" w:hAnsi="Lato Light" w:cstheme="minorHAnsi"/>
              <w:color w:val="003A5D"/>
              <w:sz w:val="12"/>
              <w:szCs w:val="12"/>
            </w:rPr>
            <w:t>Każda z ww. spółek posiada status dużego przedsiębiorcy w rozumieniu ustawy z dnia 8 marca 2013 r. o przeciwdziałaniu</w:t>
          </w:r>
          <w:r>
            <w:rPr>
              <w:rFonts w:ascii="Lato Light" w:hAnsi="Lato Light" w:cstheme="minorHAnsi"/>
              <w:color w:val="003A5D"/>
              <w:sz w:val="12"/>
              <w:szCs w:val="12"/>
            </w:rPr>
            <w:br/>
          </w:r>
          <w:r w:rsidRPr="00244C2E">
            <w:rPr>
              <w:rFonts w:ascii="Lato Light" w:hAnsi="Lato Light" w:cstheme="minorHAnsi"/>
              <w:color w:val="003A5D"/>
              <w:sz w:val="12"/>
              <w:szCs w:val="12"/>
            </w:rPr>
            <w:t>nadmiernym opóźnieniom w transakcjach handlowych (Dz.U.2019.118 tj. z dnia 2019.01.21 z późniejszymi zmianami).</w:t>
          </w:r>
        </w:p>
      </w:tc>
    </w:tr>
  </w:tbl>
  <w:p w14:paraId="30D169B6" w14:textId="77777777" w:rsidR="00B04103" w:rsidRPr="00B04103" w:rsidRDefault="00B04103" w:rsidP="00B04103">
    <w:pPr>
      <w:pStyle w:val="Stopka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4194" w14:textId="77777777" w:rsidR="00B04103" w:rsidRPr="00B04103" w:rsidRDefault="00B04103" w:rsidP="00B04103">
    <w:pPr>
      <w:spacing w:after="0" w:line="240" w:lineRule="auto"/>
      <w:rPr>
        <w:sz w:val="14"/>
        <w:szCs w:val="14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7"/>
      <w:gridCol w:w="2266"/>
      <w:gridCol w:w="2266"/>
      <w:gridCol w:w="2266"/>
    </w:tblGrid>
    <w:tr w:rsidR="00B04103" w:rsidRPr="00B67981" w14:paraId="1204B13D" w14:textId="77777777" w:rsidTr="003B6C64"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6A2A8CF3" w14:textId="77777777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</w:pPr>
          <w:r w:rsidRPr="00B67981">
            <w:rPr>
              <w:rFonts w:cstheme="minorHAnsi"/>
              <w:b/>
              <w:bCs/>
              <w:color w:val="003A5D"/>
              <w:sz w:val="12"/>
              <w:szCs w:val="12"/>
              <w:lang w:val="en-US"/>
            </w:rPr>
            <w:t>Prime Car Management S.A.</w:t>
          </w:r>
          <w:r w:rsidRPr="00B67981">
            <w:rPr>
              <w:rFonts w:cstheme="minorHAnsi"/>
              <w:b/>
              <w:bCs/>
              <w:color w:val="003A5D"/>
              <w:sz w:val="12"/>
              <w:szCs w:val="12"/>
              <w:lang w:val="en-US"/>
            </w:rPr>
            <w:br/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80-308 </w:t>
          </w:r>
          <w:proofErr w:type="spellStart"/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>Gdańsk</w:t>
          </w:r>
          <w:proofErr w:type="spellEnd"/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, ul. </w:t>
          </w:r>
          <w:proofErr w:type="spellStart"/>
          <w:r w:rsidRPr="00C91EA6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>Polanki</w:t>
          </w:r>
          <w:proofErr w:type="spellEnd"/>
          <w:r w:rsidRPr="00C91EA6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 4</w:t>
          </w:r>
        </w:p>
      </w:tc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7D6E2DE6" w14:textId="77777777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</w:pPr>
          <w:r w:rsidRPr="00B67981">
            <w:rPr>
              <w:rFonts w:cstheme="minorHAnsi"/>
              <w:b/>
              <w:bCs/>
              <w:color w:val="003A5D"/>
              <w:sz w:val="12"/>
              <w:szCs w:val="12"/>
              <w:lang w:val="en-US"/>
            </w:rPr>
            <w:t>Futura Leasing S.A.</w:t>
          </w:r>
          <w:r w:rsidRPr="00B67981">
            <w:rPr>
              <w:rFonts w:cstheme="minorHAnsi"/>
              <w:b/>
              <w:bCs/>
              <w:color w:val="003A5D"/>
              <w:sz w:val="12"/>
              <w:szCs w:val="12"/>
              <w:lang w:val="en-US"/>
            </w:rPr>
            <w:br/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80-308 </w:t>
          </w:r>
          <w:proofErr w:type="spellStart"/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>Gdańsk</w:t>
          </w:r>
          <w:proofErr w:type="spellEnd"/>
          <w:r w:rsidRPr="00B67981"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  <w:t xml:space="preserve">, ul. </w:t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</w:rPr>
            <w:t>Polanki 4</w:t>
          </w:r>
        </w:p>
      </w:tc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06E3D8C7" w14:textId="77777777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</w:pPr>
          <w:proofErr w:type="gramStart"/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t>Masterlease  Sp.</w:t>
          </w:r>
          <w:proofErr w:type="gramEnd"/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t xml:space="preserve"> z o.o.</w:t>
          </w:r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br/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</w:rPr>
            <w:t>80-308 Gdańsk, ul. Polanki 4</w:t>
          </w:r>
        </w:p>
      </w:tc>
      <w:tc>
        <w:tcPr>
          <w:tcW w:w="1250" w:type="pct"/>
          <w:tcBorders>
            <w:left w:val="single" w:sz="4" w:space="0" w:color="003A5D"/>
          </w:tcBorders>
        </w:tcPr>
        <w:p w14:paraId="6E000675" w14:textId="77777777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12"/>
              <w:szCs w:val="12"/>
              <w:lang w:val="en-US"/>
            </w:rPr>
          </w:pPr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t>MasterRent24 Sp. z o.o.</w:t>
          </w:r>
          <w:r w:rsidRPr="00B67981">
            <w:rPr>
              <w:rFonts w:cstheme="minorHAnsi"/>
              <w:b/>
              <w:bCs/>
              <w:color w:val="003A5D"/>
              <w:sz w:val="12"/>
              <w:szCs w:val="12"/>
            </w:rPr>
            <w:br/>
          </w:r>
          <w:r w:rsidRPr="00B67981">
            <w:rPr>
              <w:rFonts w:ascii="Lato Light" w:hAnsi="Lato Light" w:cstheme="minorHAnsi"/>
              <w:color w:val="003A5D"/>
              <w:sz w:val="12"/>
              <w:szCs w:val="12"/>
            </w:rPr>
            <w:t>80-308 Gdańsk, ul. Polanki 4</w:t>
          </w:r>
        </w:p>
      </w:tc>
    </w:tr>
    <w:tr w:rsidR="00B04103" w:rsidRPr="00B67981" w14:paraId="0E04A124" w14:textId="77777777" w:rsidTr="003B6C64"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59103904" w14:textId="0939F135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6"/>
              <w:szCs w:val="6"/>
            </w:rPr>
          </w:pP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 xml:space="preserve">NIP 957-07-53-221, KRS nr 0000013870, 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Sąd Rejonowy Gdańsk - Północ w Gdańsku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 xml:space="preserve">Kapitał zakładowy i kapitał wpłacony </w:t>
          </w:r>
          <w:r>
            <w:rPr>
              <w:rFonts w:ascii="Lato Light" w:hAnsi="Lato Light" w:cstheme="minorHAnsi"/>
              <w:color w:val="003A5D"/>
              <w:sz w:val="10"/>
              <w:szCs w:val="10"/>
            </w:rPr>
            <w:br/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23 817 680,00 zł</w:t>
          </w:r>
          <w:r w:rsidR="003F27C9">
            <w:rPr>
              <w:rFonts w:ascii="Lato Light" w:hAnsi="Lato Light" w:cstheme="minorHAnsi"/>
              <w:color w:val="003A5D"/>
              <w:sz w:val="10"/>
              <w:szCs w:val="10"/>
            </w:rPr>
            <w:t xml:space="preserve">, </w:t>
          </w:r>
          <w:r w:rsidR="003F27C9" w:rsidRPr="003F27C9">
            <w:rPr>
              <w:rFonts w:ascii="Lato Light" w:hAnsi="Lato Light" w:cstheme="minorHAnsi"/>
              <w:color w:val="003A5D"/>
              <w:sz w:val="10"/>
              <w:szCs w:val="10"/>
            </w:rPr>
            <w:t>BDO  0003399000</w:t>
          </w:r>
        </w:p>
      </w:tc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5E682FB5" w14:textId="2D3C253D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6"/>
              <w:szCs w:val="6"/>
            </w:rPr>
          </w:pP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NIP 584-10-27-454, KRS nr 0000069348,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Sąd Rejonowy Gdańsk - Północ w Gdańsku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 xml:space="preserve">Kapitał zakładowy i kapitał wpłacony </w:t>
          </w:r>
          <w:r>
            <w:rPr>
              <w:rFonts w:ascii="Lato Light" w:hAnsi="Lato Light" w:cstheme="minorHAnsi"/>
              <w:color w:val="003A5D"/>
              <w:sz w:val="10"/>
              <w:szCs w:val="10"/>
            </w:rPr>
            <w:br/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1 689 320,00 zł</w:t>
          </w:r>
          <w:r w:rsidR="00D70441">
            <w:rPr>
              <w:rFonts w:ascii="Lato Light" w:hAnsi="Lato Light" w:cstheme="minorHAnsi"/>
              <w:color w:val="003A5D"/>
              <w:sz w:val="10"/>
              <w:szCs w:val="10"/>
            </w:rPr>
            <w:t xml:space="preserve">, </w:t>
          </w:r>
          <w:proofErr w:type="gramStart"/>
          <w:r w:rsidR="00D70441" w:rsidRPr="00D70441">
            <w:rPr>
              <w:rFonts w:ascii="Lato Light" w:hAnsi="Lato Light" w:cstheme="minorHAnsi"/>
              <w:color w:val="003A5D"/>
              <w:sz w:val="10"/>
              <w:szCs w:val="10"/>
            </w:rPr>
            <w:t>BDO:  000339611</w:t>
          </w:r>
          <w:proofErr w:type="gramEnd"/>
        </w:p>
      </w:tc>
      <w:tc>
        <w:tcPr>
          <w:tcW w:w="1250" w:type="pct"/>
          <w:tcBorders>
            <w:left w:val="single" w:sz="4" w:space="0" w:color="003A5D"/>
            <w:right w:val="single" w:sz="4" w:space="0" w:color="003A5D"/>
          </w:tcBorders>
        </w:tcPr>
        <w:p w14:paraId="5DFB2A1D" w14:textId="0375E15C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6"/>
              <w:szCs w:val="6"/>
            </w:rPr>
          </w:pP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NIP 584-26-99-948, KRS nr 0000362287,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Sąd Rejonowy Gdańsk - Północ w Gdańsku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Kapitał zakładowy 7 905 000,00 zł</w:t>
          </w:r>
          <w:r w:rsidR="00DD3BE8">
            <w:rPr>
              <w:rFonts w:ascii="Lato Light" w:hAnsi="Lato Light" w:cstheme="minorHAnsi"/>
              <w:color w:val="003A5D"/>
              <w:sz w:val="10"/>
              <w:szCs w:val="10"/>
            </w:rPr>
            <w:t xml:space="preserve">, </w:t>
          </w:r>
          <w:r w:rsidR="00DD3BE8">
            <w:rPr>
              <w:rFonts w:ascii="Lato Light" w:hAnsi="Lato Light" w:cstheme="minorHAnsi"/>
              <w:color w:val="003A5D"/>
              <w:sz w:val="10"/>
              <w:szCs w:val="10"/>
            </w:rPr>
            <w:br/>
          </w:r>
          <w:r w:rsidR="00DD3BE8" w:rsidRPr="00D70441">
            <w:rPr>
              <w:rFonts w:ascii="Lato Light" w:hAnsi="Lato Light" w:cstheme="minorHAnsi"/>
              <w:color w:val="003A5D"/>
              <w:sz w:val="10"/>
              <w:szCs w:val="10"/>
            </w:rPr>
            <w:t>BDO  000339917</w:t>
          </w:r>
        </w:p>
      </w:tc>
      <w:tc>
        <w:tcPr>
          <w:tcW w:w="1250" w:type="pct"/>
          <w:tcBorders>
            <w:left w:val="single" w:sz="4" w:space="0" w:color="003A5D"/>
          </w:tcBorders>
        </w:tcPr>
        <w:p w14:paraId="078B81F1" w14:textId="77777777" w:rsidR="00B04103" w:rsidRPr="00B67981" w:rsidRDefault="00B04103" w:rsidP="00B04103">
          <w:pPr>
            <w:spacing w:after="0"/>
            <w:rPr>
              <w:rFonts w:ascii="Lato Light" w:hAnsi="Lato Light" w:cstheme="minorHAnsi"/>
              <w:color w:val="003A5D"/>
              <w:sz w:val="6"/>
              <w:szCs w:val="6"/>
            </w:rPr>
          </w:pP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t>NIP 521-337-00-54, KRS nr 0000247010,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Sąd Rejonowy Gdańsk - Północ w Gdańsku</w:t>
          </w:r>
          <w:r w:rsidRPr="00B67981">
            <w:rPr>
              <w:rFonts w:ascii="Lato Light" w:hAnsi="Lato Light" w:cstheme="minorHAnsi"/>
              <w:color w:val="003A5D"/>
              <w:sz w:val="10"/>
              <w:szCs w:val="10"/>
            </w:rPr>
            <w:br/>
            <w:t>Kapitał zakładowy 2 850 000,00 zł</w:t>
          </w:r>
        </w:p>
      </w:tc>
    </w:tr>
    <w:tr w:rsidR="00B04103" w:rsidRPr="00B67981" w14:paraId="2EE6362D" w14:textId="77777777" w:rsidTr="003B6C64">
      <w:tc>
        <w:tcPr>
          <w:tcW w:w="5000" w:type="pct"/>
          <w:gridSpan w:val="4"/>
        </w:tcPr>
        <w:p w14:paraId="62A6AA75" w14:textId="77777777" w:rsidR="00B04103" w:rsidRPr="00771429" w:rsidRDefault="00B04103" w:rsidP="00B04103">
          <w:pPr>
            <w:spacing w:after="0"/>
            <w:jc w:val="center"/>
            <w:rPr>
              <w:rFonts w:ascii="Lato Light" w:hAnsi="Lato Light" w:cstheme="minorHAnsi"/>
              <w:color w:val="003A5D"/>
              <w:sz w:val="12"/>
              <w:szCs w:val="12"/>
            </w:rPr>
          </w:pPr>
          <w:r w:rsidRPr="00244C2E">
            <w:rPr>
              <w:rFonts w:ascii="Lato Light" w:hAnsi="Lato Light" w:cstheme="minorHAnsi"/>
              <w:color w:val="003A5D"/>
              <w:sz w:val="12"/>
              <w:szCs w:val="12"/>
            </w:rPr>
            <w:t>Każda z ww. spółek posiada status dużego przedsiębiorcy w rozumieniu ustawy z dnia 8 marca 2013 r. o przeciwdziałaniu</w:t>
          </w:r>
          <w:r>
            <w:rPr>
              <w:rFonts w:ascii="Lato Light" w:hAnsi="Lato Light" w:cstheme="minorHAnsi"/>
              <w:color w:val="003A5D"/>
              <w:sz w:val="12"/>
              <w:szCs w:val="12"/>
            </w:rPr>
            <w:br/>
          </w:r>
          <w:r w:rsidRPr="00244C2E">
            <w:rPr>
              <w:rFonts w:ascii="Lato Light" w:hAnsi="Lato Light" w:cstheme="minorHAnsi"/>
              <w:color w:val="003A5D"/>
              <w:sz w:val="12"/>
              <w:szCs w:val="12"/>
            </w:rPr>
            <w:t>nadmiernym opóźnieniom w transakcjach handlowych (Dz.U.2019.118 tj. z dnia 2019.01.21 z późniejszymi zmianami).</w:t>
          </w:r>
        </w:p>
      </w:tc>
    </w:tr>
  </w:tbl>
  <w:p w14:paraId="17D4F060" w14:textId="77777777" w:rsidR="00B04103" w:rsidRPr="00B04103" w:rsidRDefault="00B04103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2038" w14:textId="77777777" w:rsidR="0027373D" w:rsidRDefault="0027373D" w:rsidP="00B04103">
      <w:r>
        <w:separator/>
      </w:r>
    </w:p>
  </w:footnote>
  <w:footnote w:type="continuationSeparator" w:id="0">
    <w:p w14:paraId="741B9990" w14:textId="77777777" w:rsidR="0027373D" w:rsidRDefault="0027373D" w:rsidP="00B0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CA80" w14:textId="77777777" w:rsidR="001344B2" w:rsidRDefault="00134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B262" w14:textId="063AF3AE" w:rsidR="008E5E19" w:rsidRDefault="00D61756" w:rsidP="00B04103">
    <w:pPr>
      <w:pStyle w:val="Nagwek"/>
    </w:pPr>
    <w:r>
      <w:rPr>
        <w:noProof/>
      </w:rPr>
      <w:drawing>
        <wp:inline distT="0" distB="0" distL="0" distR="0" wp14:anchorId="621DF811" wp14:editId="32C29D69">
          <wp:extent cx="2396335" cy="61200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lease_pk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33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2FD34" w14:textId="77777777" w:rsidR="003E5A10" w:rsidRDefault="003E5A10" w:rsidP="00B04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4939" w14:textId="3767603E" w:rsidR="00A8792E" w:rsidRDefault="00A8792E" w:rsidP="00B04103">
    <w:pPr>
      <w:pStyle w:val="Nagwek"/>
    </w:pPr>
    <w:r>
      <w:rPr>
        <w:noProof/>
      </w:rPr>
      <w:drawing>
        <wp:inline distT="0" distB="0" distL="0" distR="0" wp14:anchorId="6626C843" wp14:editId="78DD96BE">
          <wp:extent cx="2396335" cy="61200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lease_pk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33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40F01" w14:textId="77777777" w:rsidR="00A8792E" w:rsidRPr="00B04103" w:rsidRDefault="00A8792E" w:rsidP="00B041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36A"/>
    <w:multiLevelType w:val="hybridMultilevel"/>
    <w:tmpl w:val="D598E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F6F4C8">
      <w:start w:val="1"/>
      <w:numFmt w:val="decimal"/>
      <w:lvlText w:val="%2)"/>
      <w:lvlJc w:val="left"/>
      <w:pPr>
        <w:ind w:left="1080" w:hanging="360"/>
      </w:pPr>
      <w:rPr>
        <w:rFonts w:ascii="PKO Bank Polski Rg" w:hAnsi="PKO Bank Polski Rg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D0BE1"/>
    <w:multiLevelType w:val="hybridMultilevel"/>
    <w:tmpl w:val="879CE30A"/>
    <w:lvl w:ilvl="0" w:tplc="1D1E6DD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3157150"/>
    <w:multiLevelType w:val="hybridMultilevel"/>
    <w:tmpl w:val="7A8A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1EE9"/>
    <w:multiLevelType w:val="hybridMultilevel"/>
    <w:tmpl w:val="7E645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0528F"/>
    <w:multiLevelType w:val="hybridMultilevel"/>
    <w:tmpl w:val="8E5E19C2"/>
    <w:lvl w:ilvl="0" w:tplc="3AD0A3FC">
      <w:start w:val="1"/>
      <w:numFmt w:val="decimal"/>
      <w:lvlText w:val="%1)"/>
      <w:lvlJc w:val="left"/>
      <w:pPr>
        <w:ind w:left="720" w:hanging="360"/>
      </w:pPr>
      <w:rPr>
        <w:rFonts w:eastAsia="PMingLiU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6328"/>
    <w:multiLevelType w:val="hybridMultilevel"/>
    <w:tmpl w:val="A238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755"/>
    <w:multiLevelType w:val="hybridMultilevel"/>
    <w:tmpl w:val="4D7E39DC"/>
    <w:lvl w:ilvl="0" w:tplc="B6822E1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ECC5C8F"/>
    <w:multiLevelType w:val="hybridMultilevel"/>
    <w:tmpl w:val="BD6EC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83DA1"/>
    <w:multiLevelType w:val="hybridMultilevel"/>
    <w:tmpl w:val="FAD8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5EBF"/>
    <w:multiLevelType w:val="hybridMultilevel"/>
    <w:tmpl w:val="63AC2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0220"/>
    <w:multiLevelType w:val="hybridMultilevel"/>
    <w:tmpl w:val="68226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C5189"/>
    <w:multiLevelType w:val="hybridMultilevel"/>
    <w:tmpl w:val="89200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F0667"/>
    <w:multiLevelType w:val="hybridMultilevel"/>
    <w:tmpl w:val="84309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637371"/>
    <w:multiLevelType w:val="hybridMultilevel"/>
    <w:tmpl w:val="2748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2DE5"/>
    <w:multiLevelType w:val="hybridMultilevel"/>
    <w:tmpl w:val="E42635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9040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A100A"/>
    <w:multiLevelType w:val="hybridMultilevel"/>
    <w:tmpl w:val="1EFE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4498A"/>
    <w:multiLevelType w:val="hybridMultilevel"/>
    <w:tmpl w:val="AFBC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BE6"/>
    <w:multiLevelType w:val="hybridMultilevel"/>
    <w:tmpl w:val="ED8CC8BC"/>
    <w:lvl w:ilvl="0" w:tplc="C9D803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45EE74E1"/>
    <w:multiLevelType w:val="hybridMultilevel"/>
    <w:tmpl w:val="2748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0ACD"/>
    <w:multiLevelType w:val="hybridMultilevel"/>
    <w:tmpl w:val="B07A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51AF6"/>
    <w:multiLevelType w:val="hybridMultilevel"/>
    <w:tmpl w:val="A96AD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C3879"/>
    <w:multiLevelType w:val="hybridMultilevel"/>
    <w:tmpl w:val="06C8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F214B"/>
    <w:multiLevelType w:val="hybridMultilevel"/>
    <w:tmpl w:val="C2887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A3FC6"/>
    <w:multiLevelType w:val="hybridMultilevel"/>
    <w:tmpl w:val="06C8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16BD6"/>
    <w:multiLevelType w:val="hybridMultilevel"/>
    <w:tmpl w:val="7EA05C4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832BB6"/>
    <w:multiLevelType w:val="hybridMultilevel"/>
    <w:tmpl w:val="175EC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726C1"/>
    <w:multiLevelType w:val="hybridMultilevel"/>
    <w:tmpl w:val="09123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E53F7E"/>
    <w:multiLevelType w:val="multilevel"/>
    <w:tmpl w:val="2FE49DD0"/>
    <w:lvl w:ilvl="0">
      <w:start w:val="9"/>
      <w:numFmt w:val="decimalZero"/>
      <w:lvlText w:val="%1"/>
      <w:lvlJc w:val="left"/>
      <w:pPr>
        <w:ind w:left="612" w:hanging="612"/>
      </w:pPr>
      <w:rPr>
        <w:rFonts w:hint="default"/>
      </w:rPr>
    </w:lvl>
    <w:lvl w:ilvl="1">
      <w:start w:val="411"/>
      <w:numFmt w:val="decimal"/>
      <w:lvlText w:val="%1-%2"/>
      <w:lvlJc w:val="left"/>
      <w:pPr>
        <w:ind w:left="133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7BA7DF9"/>
    <w:multiLevelType w:val="hybridMultilevel"/>
    <w:tmpl w:val="B94AE00E"/>
    <w:lvl w:ilvl="0" w:tplc="67E2ADD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F4A02B8"/>
    <w:multiLevelType w:val="hybridMultilevel"/>
    <w:tmpl w:val="EAE8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28"/>
  </w:num>
  <w:num w:numId="5">
    <w:abstractNumId w:val="6"/>
  </w:num>
  <w:num w:numId="6">
    <w:abstractNumId w:val="1"/>
  </w:num>
  <w:num w:numId="7">
    <w:abstractNumId w:val="2"/>
  </w:num>
  <w:num w:numId="8">
    <w:abstractNumId w:val="20"/>
  </w:num>
  <w:num w:numId="9">
    <w:abstractNumId w:val="8"/>
  </w:num>
  <w:num w:numId="10">
    <w:abstractNumId w:val="9"/>
  </w:num>
  <w:num w:numId="11">
    <w:abstractNumId w:val="4"/>
  </w:num>
  <w:num w:numId="12">
    <w:abstractNumId w:val="15"/>
  </w:num>
  <w:num w:numId="13">
    <w:abstractNumId w:val="16"/>
  </w:num>
  <w:num w:numId="14">
    <w:abstractNumId w:val="10"/>
  </w:num>
  <w:num w:numId="15">
    <w:abstractNumId w:val="12"/>
  </w:num>
  <w:num w:numId="16">
    <w:abstractNumId w:val="11"/>
  </w:num>
  <w:num w:numId="17">
    <w:abstractNumId w:val="2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5"/>
  </w:num>
  <w:num w:numId="26">
    <w:abstractNumId w:val="0"/>
  </w:num>
  <w:num w:numId="27">
    <w:abstractNumId w:val="22"/>
  </w:num>
  <w:num w:numId="28">
    <w:abstractNumId w:val="21"/>
  </w:num>
  <w:num w:numId="29">
    <w:abstractNumId w:val="7"/>
  </w:num>
  <w:num w:numId="30">
    <w:abstractNumId w:val="29"/>
  </w:num>
  <w:num w:numId="31">
    <w:abstractNumId w:val="14"/>
  </w:num>
  <w:num w:numId="32">
    <w:abstractNumId w:val="23"/>
  </w:num>
  <w:num w:numId="33">
    <w:abstractNumId w:val="27"/>
  </w:num>
  <w:num w:numId="34">
    <w:abstractNumId w:val="5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8D"/>
    <w:rsid w:val="00001200"/>
    <w:rsid w:val="0002536E"/>
    <w:rsid w:val="000408D9"/>
    <w:rsid w:val="0006393D"/>
    <w:rsid w:val="0009246E"/>
    <w:rsid w:val="000B7023"/>
    <w:rsid w:val="000F3E8D"/>
    <w:rsid w:val="00111114"/>
    <w:rsid w:val="00131C82"/>
    <w:rsid w:val="001344B2"/>
    <w:rsid w:val="00142B62"/>
    <w:rsid w:val="0015105E"/>
    <w:rsid w:val="0015437C"/>
    <w:rsid w:val="00171846"/>
    <w:rsid w:val="00182105"/>
    <w:rsid w:val="001A286A"/>
    <w:rsid w:val="001C52D4"/>
    <w:rsid w:val="001D5D90"/>
    <w:rsid w:val="001F49C4"/>
    <w:rsid w:val="00205F87"/>
    <w:rsid w:val="00233D0A"/>
    <w:rsid w:val="002379C3"/>
    <w:rsid w:val="00244C2E"/>
    <w:rsid w:val="00245B24"/>
    <w:rsid w:val="00247640"/>
    <w:rsid w:val="0025734A"/>
    <w:rsid w:val="00260D9B"/>
    <w:rsid w:val="0027373D"/>
    <w:rsid w:val="00291886"/>
    <w:rsid w:val="002938D4"/>
    <w:rsid w:val="002A60C2"/>
    <w:rsid w:val="00316497"/>
    <w:rsid w:val="00325A78"/>
    <w:rsid w:val="0035215B"/>
    <w:rsid w:val="00370767"/>
    <w:rsid w:val="00372A21"/>
    <w:rsid w:val="003E4117"/>
    <w:rsid w:val="003E5A10"/>
    <w:rsid w:val="003F27C9"/>
    <w:rsid w:val="003F70F4"/>
    <w:rsid w:val="004061D4"/>
    <w:rsid w:val="00407B0D"/>
    <w:rsid w:val="00424BD0"/>
    <w:rsid w:val="00473464"/>
    <w:rsid w:val="00475712"/>
    <w:rsid w:val="00482724"/>
    <w:rsid w:val="004A6154"/>
    <w:rsid w:val="004B4951"/>
    <w:rsid w:val="004C7DF6"/>
    <w:rsid w:val="004D2F12"/>
    <w:rsid w:val="004F329D"/>
    <w:rsid w:val="00517D42"/>
    <w:rsid w:val="0055792D"/>
    <w:rsid w:val="005B126C"/>
    <w:rsid w:val="005B31D2"/>
    <w:rsid w:val="005E1B92"/>
    <w:rsid w:val="005F59C6"/>
    <w:rsid w:val="00607DDB"/>
    <w:rsid w:val="00611D22"/>
    <w:rsid w:val="00623362"/>
    <w:rsid w:val="00687929"/>
    <w:rsid w:val="006D6215"/>
    <w:rsid w:val="006F3B37"/>
    <w:rsid w:val="00715B88"/>
    <w:rsid w:val="0073698E"/>
    <w:rsid w:val="00756ECE"/>
    <w:rsid w:val="00771429"/>
    <w:rsid w:val="007A1CCD"/>
    <w:rsid w:val="007F27A9"/>
    <w:rsid w:val="00800A94"/>
    <w:rsid w:val="0083115F"/>
    <w:rsid w:val="008323FF"/>
    <w:rsid w:val="00870940"/>
    <w:rsid w:val="00893650"/>
    <w:rsid w:val="008B4F0D"/>
    <w:rsid w:val="008B6372"/>
    <w:rsid w:val="008C0658"/>
    <w:rsid w:val="008E5E19"/>
    <w:rsid w:val="00931C31"/>
    <w:rsid w:val="009418DA"/>
    <w:rsid w:val="009458C1"/>
    <w:rsid w:val="009477DC"/>
    <w:rsid w:val="00964CDD"/>
    <w:rsid w:val="00987B26"/>
    <w:rsid w:val="009916F1"/>
    <w:rsid w:val="009B3129"/>
    <w:rsid w:val="009B62CB"/>
    <w:rsid w:val="009C51F4"/>
    <w:rsid w:val="00A0324E"/>
    <w:rsid w:val="00A20490"/>
    <w:rsid w:val="00A23465"/>
    <w:rsid w:val="00A8792E"/>
    <w:rsid w:val="00A94B8F"/>
    <w:rsid w:val="00AB4D34"/>
    <w:rsid w:val="00AD4266"/>
    <w:rsid w:val="00AE2B50"/>
    <w:rsid w:val="00AE5B84"/>
    <w:rsid w:val="00AE6100"/>
    <w:rsid w:val="00B003F4"/>
    <w:rsid w:val="00B04103"/>
    <w:rsid w:val="00B10CB9"/>
    <w:rsid w:val="00B30713"/>
    <w:rsid w:val="00B31038"/>
    <w:rsid w:val="00B60072"/>
    <w:rsid w:val="00B67981"/>
    <w:rsid w:val="00B73166"/>
    <w:rsid w:val="00B817F9"/>
    <w:rsid w:val="00BA437B"/>
    <w:rsid w:val="00BC7876"/>
    <w:rsid w:val="00BE38CA"/>
    <w:rsid w:val="00BE552F"/>
    <w:rsid w:val="00BF2234"/>
    <w:rsid w:val="00C24CB5"/>
    <w:rsid w:val="00C74A07"/>
    <w:rsid w:val="00C840E3"/>
    <w:rsid w:val="00C87952"/>
    <w:rsid w:val="00C91EA6"/>
    <w:rsid w:val="00CA3A12"/>
    <w:rsid w:val="00CD27C6"/>
    <w:rsid w:val="00CD321B"/>
    <w:rsid w:val="00CD37FB"/>
    <w:rsid w:val="00CF67F8"/>
    <w:rsid w:val="00D304B1"/>
    <w:rsid w:val="00D61756"/>
    <w:rsid w:val="00D70441"/>
    <w:rsid w:val="00D73FE5"/>
    <w:rsid w:val="00DB0313"/>
    <w:rsid w:val="00DB462D"/>
    <w:rsid w:val="00DC3E25"/>
    <w:rsid w:val="00DD3BE8"/>
    <w:rsid w:val="00E15B49"/>
    <w:rsid w:val="00E2778E"/>
    <w:rsid w:val="00E453DC"/>
    <w:rsid w:val="00E6164D"/>
    <w:rsid w:val="00E84641"/>
    <w:rsid w:val="00E95F07"/>
    <w:rsid w:val="00ED467D"/>
    <w:rsid w:val="00EE06DE"/>
    <w:rsid w:val="00EE49FB"/>
    <w:rsid w:val="00EF106B"/>
    <w:rsid w:val="00EF13A0"/>
    <w:rsid w:val="00F00579"/>
    <w:rsid w:val="00F33D2D"/>
    <w:rsid w:val="00F50CF0"/>
    <w:rsid w:val="00F62247"/>
    <w:rsid w:val="00F8214A"/>
    <w:rsid w:val="00F9071F"/>
    <w:rsid w:val="00F96AD1"/>
    <w:rsid w:val="00FB5B5D"/>
    <w:rsid w:val="00FB755E"/>
    <w:rsid w:val="00FD71D7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14B92"/>
  <w15:docId w15:val="{CCCBA343-AFC1-4D63-96C5-7F85757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103"/>
    <w:pPr>
      <w:autoSpaceDE w:val="0"/>
      <w:autoSpaceDN w:val="0"/>
      <w:adjustRightInd w:val="0"/>
      <w:spacing w:after="240"/>
    </w:pPr>
    <w:rPr>
      <w:rFonts w:ascii="Lato" w:eastAsia="Times New Roman" w:hAnsi="Lato" w:cs="Arial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19"/>
  </w:style>
  <w:style w:type="paragraph" w:styleId="Stopka">
    <w:name w:val="footer"/>
    <w:basedOn w:val="Normalny"/>
    <w:link w:val="StopkaZnak"/>
    <w:uiPriority w:val="99"/>
    <w:unhideWhenUsed/>
    <w:rsid w:val="008E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19"/>
  </w:style>
  <w:style w:type="paragraph" w:styleId="Tekstdymka">
    <w:name w:val="Balloon Text"/>
    <w:basedOn w:val="Normalny"/>
    <w:link w:val="TekstdymkaZnak"/>
    <w:uiPriority w:val="99"/>
    <w:semiHidden/>
    <w:unhideWhenUsed/>
    <w:rsid w:val="008E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19"/>
    <w:rPr>
      <w:rFonts w:ascii="Tahoma" w:hAnsi="Tahoma" w:cs="Tahoma"/>
      <w:sz w:val="16"/>
      <w:szCs w:val="16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B310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2D4"/>
    <w:rPr>
      <w:color w:val="0000FF" w:themeColor="hyperlink"/>
      <w:u w:val="single"/>
    </w:rPr>
  </w:style>
  <w:style w:type="character" w:customStyle="1" w:styleId="AkapitzlistZnak">
    <w:name w:val="Akapit z listą Znak"/>
    <w:aliases w:val="K2 lista alfabetyczna Znak"/>
    <w:basedOn w:val="Domylnaczcionkaakapitu"/>
    <w:link w:val="Akapitzlist"/>
    <w:uiPriority w:val="34"/>
    <w:locked/>
    <w:rsid w:val="00FD78EE"/>
  </w:style>
  <w:style w:type="table" w:styleId="Tabela-Siatka">
    <w:name w:val="Table Grid"/>
    <w:basedOn w:val="Standardowy"/>
    <w:uiPriority w:val="59"/>
    <w:unhideWhenUsed/>
    <w:rsid w:val="00F0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Default"/>
    <w:next w:val="Normalny"/>
    <w:link w:val="TytuZnak"/>
    <w:uiPriority w:val="10"/>
    <w:qFormat/>
    <w:rsid w:val="00C87952"/>
    <w:pPr>
      <w:spacing w:before="240" w:after="240" w:line="276" w:lineRule="auto"/>
    </w:pPr>
    <w:rPr>
      <w:rFonts w:ascii="Lato" w:hAnsi="Lato" w:cs="Tahoma"/>
      <w:color w:val="auto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87952"/>
    <w:rPr>
      <w:rFonts w:ascii="Lato" w:eastAsia="Times New Roman" w:hAnsi="Lato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07B0D"/>
    <w:pPr>
      <w:autoSpaceDE/>
      <w:autoSpaceDN/>
      <w:adjustRightInd/>
      <w:spacing w:after="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07B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5AA0E2C286B45890EF81439C5F682" ma:contentTypeVersion="10" ma:contentTypeDescription="Utwórz nowy dokument." ma:contentTypeScope="" ma:versionID="cf92db617481c4602672214657cbdcbb">
  <xsd:schema xmlns:xsd="http://www.w3.org/2001/XMLSchema" xmlns:xs="http://www.w3.org/2001/XMLSchema" xmlns:p="http://schemas.microsoft.com/office/2006/metadata/properties" xmlns:ns3="f233b25e-8b48-4373-b0d9-38195bbba501" xmlns:ns4="c8c314a1-d2db-450c-89cb-064e273b3156" targetNamespace="http://schemas.microsoft.com/office/2006/metadata/properties" ma:root="true" ma:fieldsID="d1d28f57ffacfda7534fcccc8649990a" ns3:_="" ns4:_="">
    <xsd:import namespace="f233b25e-8b48-4373-b0d9-38195bbba501"/>
    <xsd:import namespace="c8c314a1-d2db-450c-89cb-064e273b3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3b25e-8b48-4373-b0d9-38195bbba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314a1-d2db-450c-89cb-064e273b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85320-F0C0-4AB8-98BA-A1BC95F32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38BA2-8D25-4467-8EED-E5B7AA0C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3b25e-8b48-4373-b0d9-38195bbba501"/>
    <ds:schemaRef ds:uri="c8c314a1-d2db-450c-89cb-064e273b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B05BB-96BC-4B97-8233-3A210B85CB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B6213-12B2-415A-9E1F-5234CB772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 Prawny</dc:creator>
  <cp:lastModifiedBy>Rafał Derewicz</cp:lastModifiedBy>
  <cp:revision>3</cp:revision>
  <cp:lastPrinted>2021-03-23T08:25:00Z</cp:lastPrinted>
  <dcterms:created xsi:type="dcterms:W3CDTF">2021-04-26T10:40:00Z</dcterms:created>
  <dcterms:modified xsi:type="dcterms:W3CDTF">2021-04-26T10:41:00Z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0x0101004595AA0E2C286B45890EF81439C5F682</vt:lpwstr>
  </property>
</Properties>
</file>